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225F7" w14:textId="77777777" w:rsidR="007549F2" w:rsidRDefault="00CE093D">
      <w:pPr>
        <w:pStyle w:val="Nadpis1"/>
        <w:rPr>
          <w:rFonts w:ascii="Segoe UI;Arial;sans-serif" w:hAnsi="Segoe UI;Arial;sans-serif"/>
        </w:rPr>
      </w:pPr>
      <w:r>
        <w:rPr>
          <w:rFonts w:ascii="Segoe UI;Arial;sans-serif" w:hAnsi="Segoe UI;Arial;sans-serif"/>
        </w:rPr>
        <w:t>Podmínky poskytování vzdělávacích grantů</w:t>
      </w:r>
    </w:p>
    <w:p w14:paraId="6FC73E88" w14:textId="77777777" w:rsidR="007549F2" w:rsidRDefault="00CE093D">
      <w:pPr>
        <w:pStyle w:val="Zkladntext"/>
      </w:pPr>
      <w:r>
        <w:rPr>
          <w:rStyle w:val="Siln"/>
        </w:rPr>
        <w:t>verze účinná od 25. 3. 2026</w:t>
      </w:r>
    </w:p>
    <w:p w14:paraId="49B6E463" w14:textId="77777777" w:rsidR="007549F2" w:rsidRDefault="00CE093D">
      <w:pPr>
        <w:pStyle w:val="Nadpis2"/>
        <w:rPr>
          <w:rFonts w:ascii="Segoe UI;Arial;sans-serif" w:hAnsi="Segoe UI;Arial;sans-serif"/>
        </w:rPr>
      </w:pPr>
      <w:r>
        <w:rPr>
          <w:rFonts w:ascii="Segoe UI;Arial;sans-serif" w:hAnsi="Segoe UI;Arial;sans-serif"/>
        </w:rPr>
        <w:t>1. Účel dokumentu</w:t>
      </w:r>
    </w:p>
    <w:p w14:paraId="086482E9" w14:textId="77777777" w:rsidR="007549F2" w:rsidRDefault="00CE093D">
      <w:pPr>
        <w:pStyle w:val="Zkladntext"/>
      </w:pPr>
      <w:r>
        <w:t>B. Braun Medical s.r.o. podporuje odborné vzdělávání lékařů a nelékařského zdravotnického personálu formou vzdělávacích grantů. Účelem tohoto dokumentu je stanovit transparentní, předvídatelná a nediskriminační pravidla pro podávání, posuzování, schvalování, smluvní zajištění, čerpání a kontrolu vzdělávacích grantů.</w:t>
      </w:r>
    </w:p>
    <w:p w14:paraId="12FEC910" w14:textId="77777777" w:rsidR="007549F2" w:rsidRDefault="00CE093D">
      <w:pPr>
        <w:pStyle w:val="Zkladntext"/>
      </w:pPr>
      <w:r>
        <w:t>Vzdělávací grant je poskytován výhradně za účelem podpory odborného vzdělávání ve zdravotnictví. Poskytnutí grantu nesmí být přímo ani nepřímo podmíněno nákupem, používáním, doporučováním, předepisováním nebo jiným obchodním zvýhodněním výrobků či služeb společnosti B. Braun Medical s.r.o.</w:t>
      </w:r>
    </w:p>
    <w:p w14:paraId="537428ED" w14:textId="77777777" w:rsidR="007549F2" w:rsidRDefault="00CE093D">
      <w:pPr>
        <w:pStyle w:val="Nadpis2"/>
        <w:rPr>
          <w:rFonts w:ascii="Segoe UI;Arial;sans-serif" w:hAnsi="Segoe UI;Arial;sans-serif"/>
        </w:rPr>
      </w:pPr>
      <w:r>
        <w:rPr>
          <w:rFonts w:ascii="Segoe UI;Arial;sans-serif" w:hAnsi="Segoe UI;Arial;sans-serif"/>
        </w:rPr>
        <w:t>2. Okruh možných žadatelů</w:t>
      </w:r>
    </w:p>
    <w:p w14:paraId="2A52FC31" w14:textId="77777777" w:rsidR="007549F2" w:rsidRDefault="00CE093D">
      <w:pPr>
        <w:pStyle w:val="Zkladntext"/>
      </w:pPr>
      <w:r>
        <w:t>O vzdělávací grant může požádat pouze:</w:t>
      </w:r>
    </w:p>
    <w:p w14:paraId="4CA1B373" w14:textId="77777777" w:rsidR="007549F2" w:rsidRDefault="00CE093D">
      <w:pPr>
        <w:pStyle w:val="Zkladntext"/>
        <w:numPr>
          <w:ilvl w:val="0"/>
          <w:numId w:val="1"/>
        </w:numPr>
        <w:tabs>
          <w:tab w:val="left" w:pos="709"/>
        </w:tabs>
        <w:spacing w:after="0"/>
      </w:pPr>
      <w:r>
        <w:t xml:space="preserve">zdravotnické zařízení, </w:t>
      </w:r>
    </w:p>
    <w:p w14:paraId="726E1FD6" w14:textId="77777777" w:rsidR="007549F2" w:rsidRDefault="00CE093D">
      <w:pPr>
        <w:pStyle w:val="Zkladntext"/>
        <w:numPr>
          <w:ilvl w:val="0"/>
          <w:numId w:val="1"/>
        </w:numPr>
        <w:tabs>
          <w:tab w:val="left" w:pos="709"/>
        </w:tabs>
        <w:spacing w:after="0"/>
      </w:pPr>
      <w:r>
        <w:t xml:space="preserve">organizátor vzdělávací akce, </w:t>
      </w:r>
    </w:p>
    <w:p w14:paraId="05C84583" w14:textId="77777777" w:rsidR="007549F2" w:rsidRDefault="00CE093D">
      <w:pPr>
        <w:pStyle w:val="Zkladntext"/>
        <w:numPr>
          <w:ilvl w:val="0"/>
          <w:numId w:val="1"/>
        </w:numPr>
        <w:tabs>
          <w:tab w:val="left" w:pos="709"/>
        </w:tabs>
        <w:spacing w:after="0"/>
      </w:pPr>
      <w:r>
        <w:t xml:space="preserve">odborná společnost, </w:t>
      </w:r>
    </w:p>
    <w:p w14:paraId="6F1F744D" w14:textId="77777777" w:rsidR="007549F2" w:rsidRDefault="00CE093D">
      <w:pPr>
        <w:pStyle w:val="Zkladntext"/>
        <w:numPr>
          <w:ilvl w:val="0"/>
          <w:numId w:val="1"/>
        </w:numPr>
        <w:tabs>
          <w:tab w:val="left" w:pos="709"/>
        </w:tabs>
      </w:pPr>
      <w:r>
        <w:t xml:space="preserve">jiná právnická osoba působící v oblasti odborného vzdělávání ve zdravotnictví, pokud doloží svůj vztah k pořádané vzdělávací akci. </w:t>
      </w:r>
    </w:p>
    <w:p w14:paraId="24BD9347" w14:textId="77777777" w:rsidR="007549F2" w:rsidRDefault="00CE093D">
      <w:pPr>
        <w:pStyle w:val="Zkladntext"/>
      </w:pPr>
      <w:r>
        <w:t>Vzdělávací grant se neposkytuje fyzickým osobám přímo, pokud grantová komise ve výjimečných a řádně odůvodněných případech předem nerozhodne jinak.</w:t>
      </w:r>
    </w:p>
    <w:p w14:paraId="17C7D473" w14:textId="77777777" w:rsidR="007549F2" w:rsidRDefault="00CE093D">
      <w:pPr>
        <w:pStyle w:val="Nadpis2"/>
        <w:rPr>
          <w:rFonts w:ascii="Segoe UI;Arial;sans-serif" w:hAnsi="Segoe UI;Arial;sans-serif"/>
        </w:rPr>
      </w:pPr>
      <w:r>
        <w:rPr>
          <w:rFonts w:ascii="Segoe UI;Arial;sans-serif" w:hAnsi="Segoe UI;Arial;sans-serif"/>
        </w:rPr>
        <w:t>3. Podporované akce a základní podmínky podpory</w:t>
      </w:r>
    </w:p>
    <w:p w14:paraId="682E0875" w14:textId="77777777" w:rsidR="007549F2" w:rsidRDefault="00CE093D">
      <w:pPr>
        <w:pStyle w:val="Zkladntext"/>
      </w:pPr>
      <w:r>
        <w:t>Společnost B. Braun Medical s.r.o. podporuje pouze konkrétní odborné vzdělávací akce, jejichž obsah, program, organizátor, termín a rozpočet jsou v době podání žádosti dostatečně určité.</w:t>
      </w:r>
    </w:p>
    <w:p w14:paraId="490751B0" w14:textId="77777777" w:rsidR="007549F2" w:rsidRDefault="00CE093D">
      <w:pPr>
        <w:pStyle w:val="Zkladntext"/>
      </w:pPr>
      <w:r>
        <w:t>Podporovány mohou být zejména odborné konference, kongresy, semináře, kurzy a jiné vzdělávací akce zaměřené na:</w:t>
      </w:r>
    </w:p>
    <w:p w14:paraId="38D596F8" w14:textId="77777777" w:rsidR="007549F2" w:rsidRDefault="00CE093D">
      <w:pPr>
        <w:pStyle w:val="Zkladntext"/>
        <w:numPr>
          <w:ilvl w:val="0"/>
          <w:numId w:val="2"/>
        </w:numPr>
        <w:tabs>
          <w:tab w:val="left" w:pos="709"/>
        </w:tabs>
        <w:spacing w:after="0"/>
      </w:pPr>
      <w:r>
        <w:t xml:space="preserve">odborné a klinické znalosti, </w:t>
      </w:r>
    </w:p>
    <w:p w14:paraId="750D6D40" w14:textId="77777777" w:rsidR="007549F2" w:rsidRDefault="00CE093D">
      <w:pPr>
        <w:pStyle w:val="Zkladntext"/>
        <w:numPr>
          <w:ilvl w:val="0"/>
          <w:numId w:val="2"/>
        </w:numPr>
        <w:tabs>
          <w:tab w:val="left" w:pos="709"/>
        </w:tabs>
        <w:spacing w:after="0"/>
      </w:pPr>
      <w:r>
        <w:t xml:space="preserve">zvyšování kvalifikace zdravotnických pracovníků, </w:t>
      </w:r>
    </w:p>
    <w:p w14:paraId="1F252331" w14:textId="77777777" w:rsidR="007549F2" w:rsidRDefault="00CE093D">
      <w:pPr>
        <w:pStyle w:val="Zkladntext"/>
        <w:numPr>
          <w:ilvl w:val="0"/>
          <w:numId w:val="2"/>
        </w:numPr>
        <w:tabs>
          <w:tab w:val="left" w:pos="709"/>
        </w:tabs>
      </w:pPr>
      <w:r>
        <w:t xml:space="preserve">odbornou výměnu poznatků relevantních pro poskytování zdravotních služeb. </w:t>
      </w:r>
    </w:p>
    <w:p w14:paraId="6EC3DADA" w14:textId="77777777" w:rsidR="007549F2" w:rsidRDefault="00CE093D">
      <w:pPr>
        <w:pStyle w:val="Zkladntext"/>
      </w:pPr>
      <w:r>
        <w:t>Nepodporují se zejména:</w:t>
      </w:r>
    </w:p>
    <w:p w14:paraId="6AAFC50B" w14:textId="77777777" w:rsidR="007549F2" w:rsidRDefault="00CE093D">
      <w:pPr>
        <w:pStyle w:val="Zkladntext"/>
        <w:numPr>
          <w:ilvl w:val="0"/>
          <w:numId w:val="3"/>
        </w:numPr>
        <w:tabs>
          <w:tab w:val="left" w:pos="709"/>
        </w:tabs>
        <w:spacing w:after="0"/>
      </w:pPr>
      <w:r>
        <w:t xml:space="preserve">akce bez odborného programu, </w:t>
      </w:r>
    </w:p>
    <w:p w14:paraId="74272DE8" w14:textId="77777777" w:rsidR="007549F2" w:rsidRDefault="00CE093D">
      <w:pPr>
        <w:pStyle w:val="Zkladntext"/>
        <w:numPr>
          <w:ilvl w:val="0"/>
          <w:numId w:val="3"/>
        </w:numPr>
        <w:tabs>
          <w:tab w:val="left" w:pos="709"/>
        </w:tabs>
        <w:spacing w:after="0"/>
      </w:pPr>
      <w:r>
        <w:t xml:space="preserve">akce převážně společenského, propagačního nebo zábavního charakteru, </w:t>
      </w:r>
    </w:p>
    <w:p w14:paraId="1E19013D" w14:textId="77777777" w:rsidR="007549F2" w:rsidRDefault="00CE093D">
      <w:pPr>
        <w:pStyle w:val="Zkladntext"/>
        <w:numPr>
          <w:ilvl w:val="0"/>
          <w:numId w:val="3"/>
        </w:numPr>
        <w:tabs>
          <w:tab w:val="left" w:pos="709"/>
        </w:tabs>
        <w:spacing w:after="0"/>
      </w:pPr>
      <w:r>
        <w:t xml:space="preserve">vzdělávání v oblasti měkkých dovedností, obchodních dovedností nebo jazykové vzdělávání, </w:t>
      </w:r>
      <w:r>
        <w:lastRenderedPageBreak/>
        <w:t xml:space="preserve">pokud netvoří pouze okrajovou a přiměřenou součást jinak převážně odborné akce, </w:t>
      </w:r>
    </w:p>
    <w:p w14:paraId="405140A0" w14:textId="77777777" w:rsidR="007549F2" w:rsidRDefault="00CE093D">
      <w:pPr>
        <w:pStyle w:val="Zkladntext"/>
        <w:numPr>
          <w:ilvl w:val="0"/>
          <w:numId w:val="3"/>
        </w:numPr>
        <w:tabs>
          <w:tab w:val="left" w:pos="709"/>
        </w:tabs>
        <w:spacing w:after="0"/>
      </w:pPr>
      <w:r>
        <w:t xml:space="preserve">neurčitý okruh budoucích akcí nebo témat bez konkrétní specifikace, </w:t>
      </w:r>
    </w:p>
    <w:p w14:paraId="08290E33" w14:textId="77777777" w:rsidR="007549F2" w:rsidRDefault="00CE093D">
      <w:pPr>
        <w:pStyle w:val="Zkladntext"/>
        <w:numPr>
          <w:ilvl w:val="0"/>
          <w:numId w:val="3"/>
        </w:numPr>
        <w:tabs>
          <w:tab w:val="left" w:pos="709"/>
        </w:tabs>
      </w:pPr>
      <w:r>
        <w:t xml:space="preserve">náklady, které nesouvisejí přímo s podpořenou vzdělávací akcí. </w:t>
      </w:r>
    </w:p>
    <w:p w14:paraId="2A12665D" w14:textId="77777777" w:rsidR="007549F2" w:rsidRDefault="00CE093D">
      <w:pPr>
        <w:pStyle w:val="Zkladntext"/>
      </w:pPr>
      <w:r>
        <w:t>Podpořená akce se musí konat nejdříve dva měsíce po zasedání grantové komise, na kterém byla žádost posouzena, ledaže grantová komise ve výjimečném případě rozhodne jinak a toto rozhodnutí odůvodní v zápisu.</w:t>
      </w:r>
    </w:p>
    <w:p w14:paraId="1EEDBB3B" w14:textId="77777777" w:rsidR="007549F2" w:rsidRDefault="00CE093D">
      <w:pPr>
        <w:pStyle w:val="Nadpis2"/>
        <w:rPr>
          <w:rFonts w:ascii="Segoe UI;Arial;sans-serif" w:hAnsi="Segoe UI;Arial;sans-serif"/>
        </w:rPr>
      </w:pPr>
      <w:r>
        <w:rPr>
          <w:rFonts w:ascii="Segoe UI;Arial;sans-serif" w:hAnsi="Segoe UI;Arial;sans-serif"/>
        </w:rPr>
        <w:t>4. Způsobilé náklady</w:t>
      </w:r>
    </w:p>
    <w:p w14:paraId="213477D0" w14:textId="77777777" w:rsidR="007549F2" w:rsidRDefault="00CE093D">
      <w:pPr>
        <w:pStyle w:val="Zkladntext"/>
      </w:pPr>
      <w:r>
        <w:t>Částka požadovaná v žádosti musí odpovídat skutečným, přiměřeným a doloženým nákladům na vzdělávací akci a nesmí být vyšší než celkové náklady akce nebo podporované části akce.</w:t>
      </w:r>
    </w:p>
    <w:p w14:paraId="74E534EF" w14:textId="77777777" w:rsidR="007549F2" w:rsidRDefault="00CE093D">
      <w:pPr>
        <w:pStyle w:val="Zkladntext"/>
      </w:pPr>
      <w:r>
        <w:t>Z grantu lze hradit pouze náklady výslovně uvedené ve smlouvě o poskytnutí vzdělávacího grantu, zejména:</w:t>
      </w:r>
    </w:p>
    <w:p w14:paraId="182CB4E1" w14:textId="77777777" w:rsidR="007549F2" w:rsidRDefault="00CE093D">
      <w:pPr>
        <w:pStyle w:val="Zkladntext"/>
        <w:numPr>
          <w:ilvl w:val="0"/>
          <w:numId w:val="4"/>
        </w:numPr>
        <w:tabs>
          <w:tab w:val="left" w:pos="709"/>
        </w:tabs>
        <w:spacing w:after="0"/>
      </w:pPr>
      <w:r>
        <w:t xml:space="preserve">registrační poplatky, </w:t>
      </w:r>
    </w:p>
    <w:p w14:paraId="0623DF8D" w14:textId="77777777" w:rsidR="007549F2" w:rsidRDefault="00CE093D">
      <w:pPr>
        <w:pStyle w:val="Zkladntext"/>
        <w:numPr>
          <w:ilvl w:val="0"/>
          <w:numId w:val="4"/>
        </w:numPr>
        <w:tabs>
          <w:tab w:val="left" w:pos="709"/>
        </w:tabs>
        <w:spacing w:after="0"/>
      </w:pPr>
      <w:r>
        <w:t xml:space="preserve">náklady na odborný program, </w:t>
      </w:r>
    </w:p>
    <w:p w14:paraId="2943E676" w14:textId="77777777" w:rsidR="007549F2" w:rsidRDefault="00CE093D">
      <w:pPr>
        <w:pStyle w:val="Zkladntext"/>
        <w:numPr>
          <w:ilvl w:val="0"/>
          <w:numId w:val="4"/>
        </w:numPr>
        <w:tabs>
          <w:tab w:val="left" w:pos="709"/>
        </w:tabs>
        <w:spacing w:after="0"/>
      </w:pPr>
      <w:r>
        <w:t xml:space="preserve">přiměřené cestovní náklady, </w:t>
      </w:r>
    </w:p>
    <w:p w14:paraId="2CED0639" w14:textId="77777777" w:rsidR="007549F2" w:rsidRDefault="00CE093D">
      <w:pPr>
        <w:pStyle w:val="Zkladntext"/>
        <w:numPr>
          <w:ilvl w:val="0"/>
          <w:numId w:val="4"/>
        </w:numPr>
        <w:tabs>
          <w:tab w:val="left" w:pos="709"/>
        </w:tabs>
        <w:spacing w:after="0"/>
      </w:pPr>
      <w:r>
        <w:t xml:space="preserve">přiměřené ubytování, </w:t>
      </w:r>
    </w:p>
    <w:p w14:paraId="1C148BE1" w14:textId="77777777" w:rsidR="007549F2" w:rsidRDefault="00CE093D">
      <w:pPr>
        <w:pStyle w:val="Zkladntext"/>
        <w:numPr>
          <w:ilvl w:val="0"/>
          <w:numId w:val="4"/>
        </w:numPr>
        <w:tabs>
          <w:tab w:val="left" w:pos="709"/>
        </w:tabs>
        <w:spacing w:after="0"/>
      </w:pPr>
      <w:r>
        <w:t xml:space="preserve">náklady na pronájem prostor a technické zabezpečení, </w:t>
      </w:r>
    </w:p>
    <w:p w14:paraId="5B47020A" w14:textId="77777777" w:rsidR="007549F2" w:rsidRDefault="00CE093D">
      <w:pPr>
        <w:pStyle w:val="Zkladntext"/>
        <w:numPr>
          <w:ilvl w:val="0"/>
          <w:numId w:val="4"/>
        </w:numPr>
        <w:tabs>
          <w:tab w:val="left" w:pos="709"/>
        </w:tabs>
      </w:pPr>
      <w:r>
        <w:t xml:space="preserve">další náklady bezprostředně související s odborným účelem akce. </w:t>
      </w:r>
    </w:p>
    <w:p w14:paraId="4E262887" w14:textId="77777777" w:rsidR="007549F2" w:rsidRDefault="00CE093D">
      <w:pPr>
        <w:pStyle w:val="Zkladntext"/>
      </w:pPr>
      <w:r>
        <w:t>Z grantu nelze hradit zejména:</w:t>
      </w:r>
    </w:p>
    <w:p w14:paraId="28ED964A" w14:textId="77777777" w:rsidR="007549F2" w:rsidRDefault="00CE093D">
      <w:pPr>
        <w:pStyle w:val="Zkladntext"/>
        <w:numPr>
          <w:ilvl w:val="0"/>
          <w:numId w:val="5"/>
        </w:numPr>
        <w:tabs>
          <w:tab w:val="left" w:pos="709"/>
        </w:tabs>
        <w:spacing w:after="0"/>
      </w:pPr>
      <w:r>
        <w:t xml:space="preserve">náklady nesouvisející s odborným účelem akce, </w:t>
      </w:r>
    </w:p>
    <w:p w14:paraId="3DAB6728" w14:textId="77777777" w:rsidR="007549F2" w:rsidRDefault="00CE093D">
      <w:pPr>
        <w:pStyle w:val="Zkladntext"/>
        <w:numPr>
          <w:ilvl w:val="0"/>
          <w:numId w:val="5"/>
        </w:numPr>
        <w:tabs>
          <w:tab w:val="left" w:pos="709"/>
        </w:tabs>
        <w:spacing w:after="0"/>
      </w:pPr>
      <w:r>
        <w:t xml:space="preserve">doprovodné osoby, </w:t>
      </w:r>
    </w:p>
    <w:p w14:paraId="73A12DF0" w14:textId="77777777" w:rsidR="007549F2" w:rsidRDefault="00CE093D">
      <w:pPr>
        <w:pStyle w:val="Zkladntext"/>
        <w:numPr>
          <w:ilvl w:val="0"/>
          <w:numId w:val="5"/>
        </w:numPr>
        <w:tabs>
          <w:tab w:val="left" w:pos="709"/>
        </w:tabs>
        <w:spacing w:after="0"/>
      </w:pPr>
      <w:r>
        <w:t xml:space="preserve">nadstandardní pohoštění, reprezentaci nebo zábavní program, </w:t>
      </w:r>
    </w:p>
    <w:p w14:paraId="096C4A2D" w14:textId="77777777" w:rsidR="007549F2" w:rsidRDefault="00CE093D">
      <w:pPr>
        <w:pStyle w:val="Zkladntext"/>
        <w:numPr>
          <w:ilvl w:val="0"/>
          <w:numId w:val="5"/>
        </w:numPr>
        <w:tabs>
          <w:tab w:val="left" w:pos="709"/>
        </w:tabs>
        <w:spacing w:after="0"/>
      </w:pPr>
      <w:r>
        <w:t xml:space="preserve">alkoholické nápoje, </w:t>
      </w:r>
    </w:p>
    <w:p w14:paraId="1A6648BD" w14:textId="77777777" w:rsidR="007549F2" w:rsidRDefault="00CE093D">
      <w:pPr>
        <w:pStyle w:val="Zkladntext"/>
        <w:numPr>
          <w:ilvl w:val="0"/>
          <w:numId w:val="5"/>
        </w:numPr>
        <w:tabs>
          <w:tab w:val="left" w:pos="709"/>
        </w:tabs>
        <w:spacing w:after="0"/>
      </w:pPr>
      <w:r>
        <w:t xml:space="preserve">paušální nebo neurčitě vymezené částky bez vazby na konkrétní náklad, </w:t>
      </w:r>
    </w:p>
    <w:p w14:paraId="61012A76" w14:textId="77777777" w:rsidR="007549F2" w:rsidRDefault="00CE093D">
      <w:pPr>
        <w:pStyle w:val="Zkladntext"/>
        <w:numPr>
          <w:ilvl w:val="0"/>
          <w:numId w:val="5"/>
        </w:numPr>
        <w:tabs>
          <w:tab w:val="left" w:pos="709"/>
        </w:tabs>
      </w:pPr>
      <w:r>
        <w:t xml:space="preserve">jakékoli plnění, které by mohlo být v rozporu s právními nebo compliance pravidly společnosti. </w:t>
      </w:r>
    </w:p>
    <w:p w14:paraId="04C6ECBA" w14:textId="77777777" w:rsidR="007549F2" w:rsidRDefault="00CE093D">
      <w:pPr>
        <w:pStyle w:val="Nadpis2"/>
        <w:rPr>
          <w:rFonts w:ascii="Segoe UI;Arial;sans-serif" w:hAnsi="Segoe UI;Arial;sans-serif"/>
        </w:rPr>
      </w:pPr>
      <w:r>
        <w:rPr>
          <w:rFonts w:ascii="Segoe UI;Arial;sans-serif" w:hAnsi="Segoe UI;Arial;sans-serif"/>
        </w:rPr>
        <w:t>5. Podání žádosti</w:t>
      </w:r>
    </w:p>
    <w:p w14:paraId="5E7458B6" w14:textId="77777777" w:rsidR="007549F2" w:rsidRDefault="00CE093D">
      <w:pPr>
        <w:pStyle w:val="Zkladntext"/>
      </w:pPr>
      <w:r>
        <w:t xml:space="preserve">Žádost o vzdělávací grant zasílá žadatel prostřednictvím předepsaného formuláře na e-mailovou adresu </w:t>
      </w:r>
      <w:r>
        <w:rPr>
          <w:rStyle w:val="Siln"/>
        </w:rPr>
        <w:t>granty.cz@bbraun.com</w:t>
      </w:r>
      <w:r>
        <w:t xml:space="preserve"> nejpozději 7 dnů před zasedáním grantové komise. Jiný způsob podání lze použít jen tehdy, pokud jej společnost B. Braun Medical s.r.o. předem písemně schválí.</w:t>
      </w:r>
    </w:p>
    <w:p w14:paraId="307C2059" w14:textId="77777777" w:rsidR="007549F2" w:rsidRDefault="00CE093D">
      <w:pPr>
        <w:pStyle w:val="Zkladntext"/>
      </w:pPr>
      <w:r>
        <w:t>Povinnými přílohami žádosti jsou zejména:</w:t>
      </w:r>
    </w:p>
    <w:p w14:paraId="24F1D531" w14:textId="77777777" w:rsidR="007549F2" w:rsidRDefault="00CE093D">
      <w:pPr>
        <w:pStyle w:val="Zkladntext"/>
        <w:numPr>
          <w:ilvl w:val="0"/>
          <w:numId w:val="6"/>
        </w:numPr>
        <w:tabs>
          <w:tab w:val="left" w:pos="709"/>
        </w:tabs>
        <w:spacing w:after="0"/>
      </w:pPr>
      <w:r>
        <w:t xml:space="preserve">program vzdělávací akce, </w:t>
      </w:r>
    </w:p>
    <w:p w14:paraId="6C8C90FD" w14:textId="77777777" w:rsidR="007549F2" w:rsidRDefault="00CE093D">
      <w:pPr>
        <w:pStyle w:val="Zkladntext"/>
        <w:numPr>
          <w:ilvl w:val="0"/>
          <w:numId w:val="6"/>
        </w:numPr>
        <w:tabs>
          <w:tab w:val="left" w:pos="709"/>
        </w:tabs>
        <w:spacing w:after="0"/>
      </w:pPr>
      <w:r>
        <w:t xml:space="preserve">rozpočet akce nebo rozpočet nákladů, na které má být grant použit, </w:t>
      </w:r>
    </w:p>
    <w:p w14:paraId="67A33218" w14:textId="77777777" w:rsidR="007549F2" w:rsidRDefault="00CE093D">
      <w:pPr>
        <w:pStyle w:val="Zkladntext"/>
        <w:numPr>
          <w:ilvl w:val="0"/>
          <w:numId w:val="6"/>
        </w:numPr>
        <w:tabs>
          <w:tab w:val="left" w:pos="709"/>
        </w:tabs>
        <w:spacing w:after="0"/>
      </w:pPr>
      <w:r>
        <w:t xml:space="preserve">identifikace žadatele a osob odpovědných za organizaci akce, </w:t>
      </w:r>
    </w:p>
    <w:p w14:paraId="7AC5AA0B" w14:textId="77777777" w:rsidR="007549F2" w:rsidRDefault="00CE093D">
      <w:pPr>
        <w:pStyle w:val="Zkladntext"/>
        <w:numPr>
          <w:ilvl w:val="0"/>
          <w:numId w:val="6"/>
        </w:numPr>
        <w:tabs>
          <w:tab w:val="left" w:pos="709"/>
        </w:tabs>
        <w:spacing w:after="0"/>
      </w:pPr>
      <w:r>
        <w:t xml:space="preserve">informace o účelu, cílové skupině a předpokládaném přínosu akce, </w:t>
      </w:r>
    </w:p>
    <w:p w14:paraId="0C195459" w14:textId="77777777" w:rsidR="007549F2" w:rsidRDefault="00CE093D">
      <w:pPr>
        <w:pStyle w:val="Zkladntext"/>
        <w:numPr>
          <w:ilvl w:val="0"/>
          <w:numId w:val="6"/>
        </w:numPr>
        <w:tabs>
          <w:tab w:val="left" w:pos="709"/>
        </w:tabs>
      </w:pPr>
      <w:r>
        <w:t xml:space="preserve">případné další podklady, které si grantová komise vyžádá. </w:t>
      </w:r>
    </w:p>
    <w:p w14:paraId="42C5809F" w14:textId="77777777" w:rsidR="007549F2" w:rsidRDefault="00CE093D">
      <w:pPr>
        <w:pStyle w:val="Zkladntext"/>
      </w:pPr>
      <w:r>
        <w:lastRenderedPageBreak/>
        <w:t>Neúplnou žádost může grantová komise vrátit k doplnění nebo ji bez dalšího zamítnout.</w:t>
      </w:r>
    </w:p>
    <w:p w14:paraId="2DE426A2" w14:textId="77777777" w:rsidR="007549F2" w:rsidRDefault="00CE093D">
      <w:pPr>
        <w:pStyle w:val="Nadpis2"/>
        <w:rPr>
          <w:rFonts w:ascii="Segoe UI;Arial;sans-serif" w:hAnsi="Segoe UI;Arial;sans-serif"/>
        </w:rPr>
      </w:pPr>
      <w:r>
        <w:rPr>
          <w:rFonts w:ascii="Segoe UI;Arial;sans-serif" w:hAnsi="Segoe UI;Arial;sans-serif"/>
        </w:rPr>
        <w:t>6. Grantová komise</w:t>
      </w:r>
    </w:p>
    <w:p w14:paraId="24AAEAA5" w14:textId="77777777" w:rsidR="007549F2" w:rsidRDefault="00CE093D">
      <w:pPr>
        <w:pStyle w:val="Zkladntext"/>
      </w:pPr>
      <w:r>
        <w:t>O přidělení vzdělávacího grantu rozhoduje grantová komise složená z:</w:t>
      </w:r>
    </w:p>
    <w:p w14:paraId="4BF894F5" w14:textId="77777777" w:rsidR="007549F2" w:rsidRDefault="00CE093D">
      <w:pPr>
        <w:pStyle w:val="Zkladntext"/>
        <w:numPr>
          <w:ilvl w:val="0"/>
          <w:numId w:val="7"/>
        </w:numPr>
        <w:tabs>
          <w:tab w:val="left" w:pos="709"/>
        </w:tabs>
        <w:spacing w:after="0"/>
      </w:pPr>
      <w:r>
        <w:t xml:space="preserve">Manažera Aesculap Akademie, </w:t>
      </w:r>
    </w:p>
    <w:p w14:paraId="1A774CC1" w14:textId="77777777" w:rsidR="007549F2" w:rsidRDefault="00CE093D">
      <w:pPr>
        <w:pStyle w:val="Zkladntext"/>
        <w:numPr>
          <w:ilvl w:val="0"/>
          <w:numId w:val="7"/>
        </w:numPr>
        <w:tabs>
          <w:tab w:val="left" w:pos="709"/>
        </w:tabs>
      </w:pPr>
      <w:r>
        <w:t xml:space="preserve">Compliance Officera pro Českou republiku a Slovensko. </w:t>
      </w:r>
    </w:p>
    <w:p w14:paraId="6DC8421B" w14:textId="77777777" w:rsidR="007549F2" w:rsidRDefault="00CE093D">
      <w:pPr>
        <w:pStyle w:val="Zkladntext"/>
      </w:pPr>
      <w:r>
        <w:t>Grantová komise je usnášeníschopná, jsou-li přítomni oba její členové. O projednání žádostí se pořizuje stručný písemný záznam, který obsahuje alespoň identifikaci žadatele, předmět žádosti, výsledek posouzení, případná omezení nebo podmínky grantu a záznam o případném střetu zájmů.</w:t>
      </w:r>
    </w:p>
    <w:p w14:paraId="369CF647" w14:textId="77777777" w:rsidR="007549F2" w:rsidRDefault="00CE093D">
      <w:pPr>
        <w:pStyle w:val="Zkladntext"/>
      </w:pPr>
      <w:r>
        <w:t>Člen grantové komise, u něhož existuje skutečný nebo potenciální střet zájmů ve vztahu k posuzované žádosti, je povinen tuto skutečnost bezodkladně oznámit. Takový člen se nepodílí na posouzení ani rozhodnutí o dotčené žádosti. Společnost v takovém případě určí náhradní osobu s odpovídající kompetencí.</w:t>
      </w:r>
    </w:p>
    <w:p w14:paraId="3EA0CDFF" w14:textId="77777777" w:rsidR="007549F2" w:rsidRDefault="00CE093D">
      <w:pPr>
        <w:pStyle w:val="Nadpis2"/>
        <w:rPr>
          <w:rFonts w:ascii="Segoe UI;Arial;sans-serif" w:hAnsi="Segoe UI;Arial;sans-serif"/>
        </w:rPr>
      </w:pPr>
      <w:r>
        <w:rPr>
          <w:rFonts w:ascii="Segoe UI;Arial;sans-serif" w:hAnsi="Segoe UI;Arial;sans-serif"/>
        </w:rPr>
        <w:t>7. Termíny zasedání grantové komise</w:t>
      </w:r>
    </w:p>
    <w:p w14:paraId="3A0B7F10" w14:textId="77777777" w:rsidR="007549F2" w:rsidRDefault="00CE093D">
      <w:pPr>
        <w:pStyle w:val="Zkladntext"/>
      </w:pPr>
      <w:r>
        <w:t>Grantová komise se schází zpravidla jednou za čtvrtletí.</w:t>
      </w:r>
    </w:p>
    <w:p w14:paraId="661650F7" w14:textId="77777777" w:rsidR="007549F2" w:rsidRDefault="00CE093D">
      <w:pPr>
        <w:pStyle w:val="Zkladntext"/>
      </w:pPr>
      <w:r>
        <w:t>V roce 2026 se grantová komise sejde v těchto termínech:</w:t>
      </w:r>
    </w:p>
    <w:p w14:paraId="32A3A4AA" w14:textId="37C3B969" w:rsidR="00CE093D" w:rsidRDefault="00CE093D">
      <w:pPr>
        <w:pStyle w:val="Zkladntext"/>
      </w:pPr>
      <w:r>
        <w:t xml:space="preserve">27.2.2026 </w:t>
      </w:r>
    </w:p>
    <w:p w14:paraId="037AE5A2" w14:textId="2263593C" w:rsidR="00CE093D" w:rsidRDefault="00CE093D">
      <w:pPr>
        <w:pStyle w:val="Zkladntext"/>
      </w:pPr>
      <w:r>
        <w:t>22.5.2026</w:t>
      </w:r>
    </w:p>
    <w:p w14:paraId="6F0D8263" w14:textId="2AF9956A" w:rsidR="00CE093D" w:rsidRDefault="00CE093D">
      <w:pPr>
        <w:pStyle w:val="Zkladntext"/>
      </w:pPr>
      <w:r>
        <w:t>28.8.2026</w:t>
      </w:r>
    </w:p>
    <w:p w14:paraId="63585D4A" w14:textId="68F4EF12" w:rsidR="00CE093D" w:rsidRDefault="00CE093D">
      <w:pPr>
        <w:pStyle w:val="Zkladntext"/>
      </w:pPr>
      <w:r>
        <w:t>28.11.2026</w:t>
      </w:r>
    </w:p>
    <w:p w14:paraId="50EF087F" w14:textId="77777777" w:rsidR="00CE093D" w:rsidRDefault="00CE093D">
      <w:pPr>
        <w:pStyle w:val="Zkladntext"/>
      </w:pPr>
    </w:p>
    <w:p w14:paraId="087C0BE8" w14:textId="12E9E930" w:rsidR="007549F2" w:rsidRDefault="00CE093D">
      <w:pPr>
        <w:pStyle w:val="Zkladntext"/>
      </w:pPr>
      <w:r>
        <w:t>Společnost B. Braun Medical s.r.o. je oprávněna termíny zasedání přiměřeně změnit, vyžadují-li to provozní nebo organizační důvody.</w:t>
      </w:r>
    </w:p>
    <w:p w14:paraId="19E17F60" w14:textId="77777777" w:rsidR="007549F2" w:rsidRDefault="00CE093D">
      <w:pPr>
        <w:pStyle w:val="Nadpis2"/>
        <w:rPr>
          <w:rFonts w:ascii="Segoe UI;Arial;sans-serif" w:hAnsi="Segoe UI;Arial;sans-serif"/>
        </w:rPr>
      </w:pPr>
      <w:r>
        <w:rPr>
          <w:rFonts w:ascii="Segoe UI;Arial;sans-serif" w:hAnsi="Segoe UI;Arial;sans-serif"/>
        </w:rPr>
        <w:t>8. Kritéria hodnocení žádostí</w:t>
      </w:r>
    </w:p>
    <w:p w14:paraId="7AE05346" w14:textId="77777777" w:rsidR="007549F2" w:rsidRDefault="00CE093D">
      <w:pPr>
        <w:pStyle w:val="Zkladntext"/>
      </w:pPr>
      <w:r>
        <w:t>Grantová komise posuzuje žádosti zejména podle těchto kritérií:</w:t>
      </w:r>
    </w:p>
    <w:p w14:paraId="0AE796A0" w14:textId="77777777" w:rsidR="007549F2" w:rsidRDefault="00CE093D">
      <w:pPr>
        <w:pStyle w:val="Zkladntext"/>
        <w:numPr>
          <w:ilvl w:val="0"/>
          <w:numId w:val="9"/>
        </w:numPr>
        <w:tabs>
          <w:tab w:val="left" w:pos="709"/>
        </w:tabs>
        <w:spacing w:after="0"/>
      </w:pPr>
      <w:r>
        <w:t xml:space="preserve">odborná kvalita, relevance a aktuálnost obsahu vzdělávací akce, </w:t>
      </w:r>
    </w:p>
    <w:p w14:paraId="718A24B4" w14:textId="77777777" w:rsidR="007549F2" w:rsidRDefault="00CE093D">
      <w:pPr>
        <w:pStyle w:val="Zkladntext"/>
        <w:numPr>
          <w:ilvl w:val="0"/>
          <w:numId w:val="9"/>
        </w:numPr>
        <w:tabs>
          <w:tab w:val="left" w:pos="709"/>
        </w:tabs>
        <w:spacing w:after="0"/>
      </w:pPr>
      <w:r>
        <w:t xml:space="preserve">přínos akce pro odborné vzdělávání zdravotnických pracovníků, </w:t>
      </w:r>
    </w:p>
    <w:p w14:paraId="5BAF1084" w14:textId="77777777" w:rsidR="007549F2" w:rsidRDefault="00CE093D">
      <w:pPr>
        <w:pStyle w:val="Zkladntext"/>
        <w:numPr>
          <w:ilvl w:val="0"/>
          <w:numId w:val="9"/>
        </w:numPr>
        <w:tabs>
          <w:tab w:val="left" w:pos="709"/>
        </w:tabs>
        <w:spacing w:after="0"/>
      </w:pPr>
      <w:r>
        <w:t xml:space="preserve">vztah tématu akce k oblastem, jimž se společnost B. Braun Medical s.r.o. dlouhodobě věnuje, </w:t>
      </w:r>
    </w:p>
    <w:p w14:paraId="66196CFF" w14:textId="77777777" w:rsidR="007549F2" w:rsidRDefault="00CE093D">
      <w:pPr>
        <w:pStyle w:val="Zkladntext"/>
        <w:numPr>
          <w:ilvl w:val="0"/>
          <w:numId w:val="9"/>
        </w:numPr>
        <w:tabs>
          <w:tab w:val="left" w:pos="709"/>
        </w:tabs>
        <w:spacing w:after="0"/>
      </w:pPr>
      <w:r>
        <w:t xml:space="preserve">přiměřenost a hospodárnost rozpočtu, </w:t>
      </w:r>
    </w:p>
    <w:p w14:paraId="787752B1" w14:textId="77777777" w:rsidR="007549F2" w:rsidRDefault="00CE093D">
      <w:pPr>
        <w:pStyle w:val="Zkladntext"/>
        <w:numPr>
          <w:ilvl w:val="0"/>
          <w:numId w:val="9"/>
        </w:numPr>
        <w:tabs>
          <w:tab w:val="left" w:pos="709"/>
        </w:tabs>
        <w:spacing w:after="0"/>
      </w:pPr>
      <w:r>
        <w:t xml:space="preserve">důvěryhodnost, odborná úroveň a dobrá pověst žadatele nebo organizátora, </w:t>
      </w:r>
    </w:p>
    <w:p w14:paraId="14AC4B43" w14:textId="77777777" w:rsidR="007549F2" w:rsidRDefault="00CE093D">
      <w:pPr>
        <w:pStyle w:val="Zkladntext"/>
        <w:numPr>
          <w:ilvl w:val="0"/>
          <w:numId w:val="9"/>
        </w:numPr>
        <w:tabs>
          <w:tab w:val="left" w:pos="709"/>
        </w:tabs>
        <w:spacing w:after="0"/>
      </w:pPr>
      <w:r>
        <w:t xml:space="preserve">transparentnost účelu, rozpočtu a organizace akce, </w:t>
      </w:r>
    </w:p>
    <w:p w14:paraId="30CFFFAA" w14:textId="77777777" w:rsidR="007549F2" w:rsidRDefault="00CE093D">
      <w:pPr>
        <w:pStyle w:val="Zkladntext"/>
        <w:numPr>
          <w:ilvl w:val="0"/>
          <w:numId w:val="9"/>
        </w:numPr>
        <w:tabs>
          <w:tab w:val="left" w:pos="709"/>
        </w:tabs>
      </w:pPr>
      <w:r>
        <w:t xml:space="preserve">soulad žádosti s právními předpisy a compliance pravidly společnosti. </w:t>
      </w:r>
    </w:p>
    <w:p w14:paraId="368FEAAF" w14:textId="77777777" w:rsidR="007549F2" w:rsidRDefault="00CE093D">
      <w:pPr>
        <w:pStyle w:val="Zkladntext"/>
      </w:pPr>
      <w:r>
        <w:t xml:space="preserve">Při hodnocení žádosti grantová komise přihlíží také k tomu, zda navržené plnění odpovídá povaze </w:t>
      </w:r>
      <w:r>
        <w:lastRenderedPageBreak/>
        <w:t>odborné akce a nevzbuzuje pochybnosti o jeho přiměřenosti nebo účelu.</w:t>
      </w:r>
    </w:p>
    <w:p w14:paraId="4A2B11D1" w14:textId="77777777" w:rsidR="007549F2" w:rsidRDefault="00CE093D">
      <w:pPr>
        <w:pStyle w:val="Nadpis2"/>
        <w:rPr>
          <w:rFonts w:ascii="Segoe UI;Arial;sans-serif" w:hAnsi="Segoe UI;Arial;sans-serif"/>
        </w:rPr>
      </w:pPr>
      <w:r>
        <w:rPr>
          <w:rFonts w:ascii="Segoe UI;Arial;sans-serif" w:hAnsi="Segoe UI;Arial;sans-serif"/>
        </w:rPr>
        <w:t>9. Rozhodnutí o žádosti</w:t>
      </w:r>
    </w:p>
    <w:p w14:paraId="71575B62" w14:textId="77777777" w:rsidR="007549F2" w:rsidRDefault="00CE093D">
      <w:pPr>
        <w:pStyle w:val="Zkladntext"/>
      </w:pPr>
      <w:r>
        <w:t>Na poskytnutí vzdělávacího grantu není právní nárok.</w:t>
      </w:r>
    </w:p>
    <w:p w14:paraId="3F59C459" w14:textId="77777777" w:rsidR="007549F2" w:rsidRDefault="00CE093D">
      <w:pPr>
        <w:pStyle w:val="Zkladntext"/>
      </w:pPr>
      <w:r>
        <w:t>Grantová komise může žádosti:</w:t>
      </w:r>
    </w:p>
    <w:p w14:paraId="71CE6D03" w14:textId="77777777" w:rsidR="007549F2" w:rsidRDefault="00CE093D">
      <w:pPr>
        <w:pStyle w:val="Zkladntext"/>
        <w:numPr>
          <w:ilvl w:val="0"/>
          <w:numId w:val="10"/>
        </w:numPr>
        <w:tabs>
          <w:tab w:val="left" w:pos="709"/>
        </w:tabs>
        <w:spacing w:after="0"/>
      </w:pPr>
      <w:r>
        <w:t xml:space="preserve">zcela vyhovět, </w:t>
      </w:r>
    </w:p>
    <w:p w14:paraId="1738EE66" w14:textId="77777777" w:rsidR="007549F2" w:rsidRDefault="00CE093D">
      <w:pPr>
        <w:pStyle w:val="Zkladntext"/>
        <w:numPr>
          <w:ilvl w:val="0"/>
          <w:numId w:val="10"/>
        </w:numPr>
        <w:tabs>
          <w:tab w:val="left" w:pos="709"/>
        </w:tabs>
        <w:spacing w:after="0"/>
      </w:pPr>
      <w:r>
        <w:t xml:space="preserve">vyhovět částečně, </w:t>
      </w:r>
    </w:p>
    <w:p w14:paraId="7E1E7E84" w14:textId="77777777" w:rsidR="007549F2" w:rsidRDefault="00CE093D">
      <w:pPr>
        <w:pStyle w:val="Zkladntext"/>
        <w:numPr>
          <w:ilvl w:val="0"/>
          <w:numId w:val="10"/>
        </w:numPr>
        <w:tabs>
          <w:tab w:val="left" w:pos="709"/>
        </w:tabs>
        <w:spacing w:after="0"/>
      </w:pPr>
      <w:r>
        <w:t xml:space="preserve">vyhovět s podmínkami, </w:t>
      </w:r>
    </w:p>
    <w:p w14:paraId="72E88862" w14:textId="77777777" w:rsidR="007549F2" w:rsidRDefault="00CE093D">
      <w:pPr>
        <w:pStyle w:val="Zkladntext"/>
        <w:numPr>
          <w:ilvl w:val="0"/>
          <w:numId w:val="10"/>
        </w:numPr>
        <w:tabs>
          <w:tab w:val="left" w:pos="709"/>
        </w:tabs>
      </w:pPr>
      <w:r>
        <w:t xml:space="preserve">zamítnout. </w:t>
      </w:r>
    </w:p>
    <w:p w14:paraId="5DC5104F" w14:textId="77777777" w:rsidR="007549F2" w:rsidRDefault="00CE093D">
      <w:pPr>
        <w:pStyle w:val="Zkladntext"/>
      </w:pPr>
      <w:r>
        <w:t>Rozhodnutí grantové komise je konečné. Žadatel bude o výsledku vyrozuměn nejpozději do 14 dnů ode dne zasedání grantové komise.</w:t>
      </w:r>
    </w:p>
    <w:p w14:paraId="6C0F9883" w14:textId="77777777" w:rsidR="007549F2" w:rsidRDefault="00CE093D">
      <w:pPr>
        <w:pStyle w:val="Zkladntext"/>
      </w:pPr>
      <w:r>
        <w:t>Grantová komise není povinna podrobně odůvodňovat zamítnutí žádosti; v odůvodněných případech však může uvést základní důvod nevyhovění nebo doporučení pro případné nové podání.</w:t>
      </w:r>
    </w:p>
    <w:p w14:paraId="2D5AD66C" w14:textId="77777777" w:rsidR="007549F2" w:rsidRDefault="00CE093D">
      <w:pPr>
        <w:pStyle w:val="Nadpis2"/>
        <w:rPr>
          <w:rFonts w:ascii="Segoe UI;Arial;sans-serif" w:hAnsi="Segoe UI;Arial;sans-serif"/>
        </w:rPr>
      </w:pPr>
      <w:r>
        <w:rPr>
          <w:rFonts w:ascii="Segoe UI;Arial;sans-serif" w:hAnsi="Segoe UI;Arial;sans-serif"/>
        </w:rPr>
        <w:t>10. Smlouva o poskytnutí vzdělávacího grantu</w:t>
      </w:r>
    </w:p>
    <w:p w14:paraId="10E0B864" w14:textId="77777777" w:rsidR="007549F2" w:rsidRDefault="00CE093D">
      <w:pPr>
        <w:pStyle w:val="Zkladntext"/>
      </w:pPr>
      <w:r>
        <w:t>Pokud grantová komise žádosti vyhoví, zašle společnost B. Braun Medical s.r.o. žadateli návrh smlouvy o poskytnutí vzdělávacího grantu.</w:t>
      </w:r>
    </w:p>
    <w:p w14:paraId="180E8EED" w14:textId="77777777" w:rsidR="007549F2" w:rsidRDefault="00CE093D">
      <w:pPr>
        <w:pStyle w:val="Zkladntext"/>
      </w:pPr>
      <w:r>
        <w:t>Grant je poskytnut pouze na základě písemné smlouvy, která stanoví zejména:</w:t>
      </w:r>
    </w:p>
    <w:p w14:paraId="018DCF3A" w14:textId="77777777" w:rsidR="007549F2" w:rsidRDefault="00CE093D">
      <w:pPr>
        <w:pStyle w:val="Zkladntext"/>
        <w:numPr>
          <w:ilvl w:val="0"/>
          <w:numId w:val="11"/>
        </w:numPr>
        <w:tabs>
          <w:tab w:val="left" w:pos="709"/>
        </w:tabs>
        <w:spacing w:after="0"/>
      </w:pPr>
      <w:r>
        <w:t xml:space="preserve">účel grantu, </w:t>
      </w:r>
    </w:p>
    <w:p w14:paraId="38538F3B" w14:textId="77777777" w:rsidR="007549F2" w:rsidRDefault="00CE093D">
      <w:pPr>
        <w:pStyle w:val="Zkladntext"/>
        <w:numPr>
          <w:ilvl w:val="0"/>
          <w:numId w:val="11"/>
        </w:numPr>
        <w:tabs>
          <w:tab w:val="left" w:pos="709"/>
        </w:tabs>
        <w:spacing w:after="0"/>
      </w:pPr>
      <w:r>
        <w:t xml:space="preserve">výši grantu, </w:t>
      </w:r>
    </w:p>
    <w:p w14:paraId="78AA95E2" w14:textId="77777777" w:rsidR="007549F2" w:rsidRDefault="00CE093D">
      <w:pPr>
        <w:pStyle w:val="Zkladntext"/>
        <w:numPr>
          <w:ilvl w:val="0"/>
          <w:numId w:val="11"/>
        </w:numPr>
        <w:tabs>
          <w:tab w:val="left" w:pos="709"/>
        </w:tabs>
        <w:spacing w:after="0"/>
      </w:pPr>
      <w:r>
        <w:t xml:space="preserve">způsobilé náklady, </w:t>
      </w:r>
    </w:p>
    <w:p w14:paraId="43450765" w14:textId="77777777" w:rsidR="007549F2" w:rsidRDefault="00CE093D">
      <w:pPr>
        <w:pStyle w:val="Zkladntext"/>
        <w:numPr>
          <w:ilvl w:val="0"/>
          <w:numId w:val="11"/>
        </w:numPr>
        <w:tabs>
          <w:tab w:val="left" w:pos="709"/>
        </w:tabs>
        <w:spacing w:after="0"/>
      </w:pPr>
      <w:r>
        <w:t xml:space="preserve">podmínky čerpání, </w:t>
      </w:r>
    </w:p>
    <w:p w14:paraId="4A39971D" w14:textId="77777777" w:rsidR="007549F2" w:rsidRDefault="00CE093D">
      <w:pPr>
        <w:pStyle w:val="Zkladntext"/>
        <w:numPr>
          <w:ilvl w:val="0"/>
          <w:numId w:val="11"/>
        </w:numPr>
        <w:tabs>
          <w:tab w:val="left" w:pos="709"/>
        </w:tabs>
        <w:spacing w:after="0"/>
      </w:pPr>
      <w:r>
        <w:t xml:space="preserve">podmínky vyúčtování a kontroly, </w:t>
      </w:r>
    </w:p>
    <w:p w14:paraId="1E67232E" w14:textId="77777777" w:rsidR="007549F2" w:rsidRDefault="00CE093D">
      <w:pPr>
        <w:pStyle w:val="Zkladntext"/>
        <w:numPr>
          <w:ilvl w:val="0"/>
          <w:numId w:val="11"/>
        </w:numPr>
        <w:tabs>
          <w:tab w:val="left" w:pos="709"/>
        </w:tabs>
      </w:pPr>
      <w:r>
        <w:t xml:space="preserve">povinnost vrátit grant nebo jeho část při porušení smluvních podmínek. </w:t>
      </w:r>
    </w:p>
    <w:p w14:paraId="75BD67E9" w14:textId="74F64637" w:rsidR="007549F2" w:rsidRDefault="00CE093D">
      <w:pPr>
        <w:pStyle w:val="Zkladntext"/>
      </w:pPr>
      <w:r>
        <w:t>Společnost B. Braun Medical s.r.o. standardně používá vlastní smluvní dokumentaci. Podstatné odchylky od předloženého návrhu smlouvy nemusí být akceptovány. Vzory smluv předložené žadatelem společnost nepřijímá.</w:t>
      </w:r>
    </w:p>
    <w:p w14:paraId="7E484B6E" w14:textId="77777777" w:rsidR="007549F2" w:rsidRDefault="00CE093D">
      <w:pPr>
        <w:pStyle w:val="Nadpis2"/>
        <w:rPr>
          <w:rFonts w:ascii="Segoe UI;Arial;sans-serif" w:hAnsi="Segoe UI;Arial;sans-serif"/>
        </w:rPr>
      </w:pPr>
      <w:r>
        <w:rPr>
          <w:rFonts w:ascii="Segoe UI;Arial;sans-serif" w:hAnsi="Segoe UI;Arial;sans-serif"/>
        </w:rPr>
        <w:t>11. Čerpání, vyúčtování a kontrola</w:t>
      </w:r>
    </w:p>
    <w:p w14:paraId="3682A97B" w14:textId="77777777" w:rsidR="007549F2" w:rsidRDefault="00CE093D">
      <w:pPr>
        <w:pStyle w:val="Zkladntext"/>
      </w:pPr>
      <w:r>
        <w:t>Příjemce grantu je povinen použít grant výhradně ke sjednanému účelu a v souladu se smlouvou.</w:t>
      </w:r>
    </w:p>
    <w:p w14:paraId="4DACAA86" w14:textId="616CAA89" w:rsidR="007549F2" w:rsidRDefault="00CE093D">
      <w:pPr>
        <w:pStyle w:val="Zkladntext"/>
      </w:pPr>
      <w:r>
        <w:t>Po uskutečnění podpořené akce je příjemce povinen na vyžádání dle smlouvy o vzdělávacím grantu předložit zejména:</w:t>
      </w:r>
    </w:p>
    <w:p w14:paraId="7416C486" w14:textId="77777777" w:rsidR="007549F2" w:rsidRDefault="00CE093D">
      <w:pPr>
        <w:pStyle w:val="Zkladntext"/>
        <w:numPr>
          <w:ilvl w:val="0"/>
          <w:numId w:val="12"/>
        </w:numPr>
        <w:tabs>
          <w:tab w:val="left" w:pos="709"/>
        </w:tabs>
        <w:spacing w:after="0"/>
      </w:pPr>
      <w:r>
        <w:t xml:space="preserve">stručnou zprávu o realizaci akce, </w:t>
      </w:r>
    </w:p>
    <w:p w14:paraId="287E2D76" w14:textId="77777777" w:rsidR="007549F2" w:rsidRDefault="00CE093D">
      <w:pPr>
        <w:pStyle w:val="Zkladntext"/>
        <w:numPr>
          <w:ilvl w:val="0"/>
          <w:numId w:val="12"/>
        </w:numPr>
        <w:tabs>
          <w:tab w:val="left" w:pos="709"/>
        </w:tabs>
        <w:spacing w:after="0"/>
      </w:pPr>
      <w:r>
        <w:t xml:space="preserve">vyúčtování použití grantu, </w:t>
      </w:r>
    </w:p>
    <w:p w14:paraId="0BA2C72F" w14:textId="77777777" w:rsidR="007549F2" w:rsidRDefault="00CE093D">
      <w:pPr>
        <w:pStyle w:val="Zkladntext"/>
        <w:numPr>
          <w:ilvl w:val="0"/>
          <w:numId w:val="12"/>
        </w:numPr>
        <w:tabs>
          <w:tab w:val="left" w:pos="709"/>
        </w:tabs>
        <w:spacing w:after="0"/>
      </w:pPr>
      <w:r>
        <w:t xml:space="preserve">relevantní účetní nebo jiné doklady prokazující účelné použití prostředků, </w:t>
      </w:r>
    </w:p>
    <w:p w14:paraId="7EC01C34" w14:textId="2A00B6A2" w:rsidR="007549F2" w:rsidRDefault="00CE093D">
      <w:pPr>
        <w:pStyle w:val="Zkladntext"/>
        <w:numPr>
          <w:ilvl w:val="0"/>
          <w:numId w:val="12"/>
        </w:numPr>
        <w:tabs>
          <w:tab w:val="left" w:pos="709"/>
        </w:tabs>
      </w:pPr>
      <w:r>
        <w:lastRenderedPageBreak/>
        <w:t xml:space="preserve">další podklady potřebné k ověření souladu čerpání se smlouvou. </w:t>
      </w:r>
    </w:p>
    <w:p w14:paraId="2B06F7B2" w14:textId="77777777" w:rsidR="007549F2" w:rsidRDefault="00CE093D">
      <w:pPr>
        <w:pStyle w:val="Zkladntext"/>
      </w:pPr>
      <w:r>
        <w:t>Nebyl-li grant použit řádně, včas nebo v plném rozsahu, nebo byl-li použit v rozporu s účelem či smlouvou, je příjemce povinen vrátit grant nebo jeho příslušnou část podle pokynů společnosti B. Braun Medical s.r.o.</w:t>
      </w:r>
    </w:p>
    <w:p w14:paraId="4559246E" w14:textId="77777777" w:rsidR="007549F2" w:rsidRDefault="00CE093D">
      <w:pPr>
        <w:pStyle w:val="Nadpis2"/>
        <w:rPr>
          <w:rFonts w:ascii="Segoe UI;Arial;sans-serif" w:hAnsi="Segoe UI;Arial;sans-serif"/>
        </w:rPr>
      </w:pPr>
      <w:r>
        <w:rPr>
          <w:rFonts w:ascii="Segoe UI;Arial;sans-serif" w:hAnsi="Segoe UI;Arial;sans-serif"/>
        </w:rPr>
        <w:t>12. Compliance pravidla</w:t>
      </w:r>
    </w:p>
    <w:p w14:paraId="07D775B8" w14:textId="77777777" w:rsidR="007549F2" w:rsidRDefault="00CE093D">
      <w:pPr>
        <w:pStyle w:val="Zkladntext"/>
      </w:pPr>
      <w:r>
        <w:t>Při poskytování vzdělávacích grantů musí být vždy zachována nezávislost odborného obsahu vzdělávací akce. Poskytnutím grantu nesmí být ovlivněna odborná rozhodnutí zdravotnických pracovníků ani nesmí vzniknout dojem nepřípustného protiplnění.</w:t>
      </w:r>
    </w:p>
    <w:p w14:paraId="6FCBBA94" w14:textId="77777777" w:rsidR="007549F2" w:rsidRDefault="00CE093D">
      <w:pPr>
        <w:pStyle w:val="Zkladntext"/>
      </w:pPr>
      <w:r>
        <w:t>Grant nesmí být použit způsobem, který by byl v rozporu s právními předpisy, etickými pravidly, pravidly regulace reklamy nebo interními compliance pravidly společnosti B. Braun Medical s.r.o.</w:t>
      </w:r>
    </w:p>
    <w:p w14:paraId="75C1BC71" w14:textId="77777777" w:rsidR="007549F2" w:rsidRDefault="00CE093D">
      <w:pPr>
        <w:pStyle w:val="Zkladntext"/>
      </w:pPr>
      <w:r>
        <w:t>V případě pochybností o souladu žádosti nebo navrženého plnění s compliance pravidly je grantová komise oprávněna žádost zamítnout, vyžádat si doplnění nebo stanovit dodatečné podmínky.</w:t>
      </w:r>
    </w:p>
    <w:p w14:paraId="246744D9" w14:textId="77777777" w:rsidR="007549F2" w:rsidRDefault="00CE093D">
      <w:pPr>
        <w:pStyle w:val="Nadpis2"/>
        <w:rPr>
          <w:rFonts w:ascii="Segoe UI;Arial;sans-serif" w:hAnsi="Segoe UI;Arial;sans-serif"/>
        </w:rPr>
      </w:pPr>
      <w:r>
        <w:rPr>
          <w:rFonts w:ascii="Segoe UI;Arial;sans-serif" w:hAnsi="Segoe UI;Arial;sans-serif"/>
        </w:rPr>
        <w:t>13. Zpracování a uchování podkladů</w:t>
      </w:r>
    </w:p>
    <w:p w14:paraId="28C8EDCF" w14:textId="77777777" w:rsidR="007549F2" w:rsidRDefault="00CE093D">
      <w:pPr>
        <w:pStyle w:val="Zkladntext"/>
      </w:pPr>
      <w:r>
        <w:t>Společnost B. Braun Medical s.r.o. je oprávněna zpracovávat a uchovávat údaje a dokumenty poskytnuté v souvislosti se žádostí o grant a s jeho správou v rozsahu nezbytném pro posouzení žádosti, uzavření smlouvy, evidenci, kontrolu, plnění právních povinností a ochranu oprávněných zájmů společnosti.</w:t>
      </w:r>
    </w:p>
    <w:p w14:paraId="3F57E1C9" w14:textId="77777777" w:rsidR="007549F2" w:rsidRDefault="00CE093D">
      <w:pPr>
        <w:pStyle w:val="Zkladntext"/>
      </w:pPr>
      <w:r>
        <w:t>Žadatel je odpovědný za to, že veškeré předané údaje a dokumenty jsou přesné, pravdivé a že jejich předání společnosti je oprávněné.</w:t>
      </w:r>
    </w:p>
    <w:p w14:paraId="297DAFB7" w14:textId="77777777" w:rsidR="007549F2" w:rsidRDefault="00CE093D">
      <w:pPr>
        <w:pStyle w:val="Nadpis2"/>
        <w:rPr>
          <w:rFonts w:ascii="Segoe UI;Arial;sans-serif" w:hAnsi="Segoe UI;Arial;sans-serif"/>
        </w:rPr>
      </w:pPr>
      <w:r>
        <w:rPr>
          <w:rFonts w:ascii="Segoe UI;Arial;sans-serif" w:hAnsi="Segoe UI;Arial;sans-serif"/>
        </w:rPr>
        <w:t>14. Závěrečná ustanovení</w:t>
      </w:r>
    </w:p>
    <w:p w14:paraId="55CAD533" w14:textId="77777777" w:rsidR="007549F2" w:rsidRDefault="00CE093D">
      <w:pPr>
        <w:pStyle w:val="Zkladntext"/>
      </w:pPr>
      <w:r>
        <w:t>Tento dokument stanoví obecná pravidla pro poskytování vzdělávacích grantů. Společnost B. Braun Medical s.r.o. si vyhrazuje právo tento dokument přiměřeně měnit nebo doplňovat.</w:t>
      </w:r>
    </w:p>
    <w:p w14:paraId="6161D792" w14:textId="77777777" w:rsidR="007549F2" w:rsidRDefault="00CE093D">
      <w:pPr>
        <w:pStyle w:val="Zkladntext"/>
      </w:pPr>
      <w:r>
        <w:t>Výjimky z těchto podmínek jsou možné pouze výjimečně a musí být předem schváleny grantovou komisí nebo jinou k tomu pověřenou osobou společnosti a řádně zdokumentovány.</w:t>
      </w:r>
    </w:p>
    <w:p w14:paraId="0197F846" w14:textId="77777777" w:rsidR="007549F2" w:rsidRDefault="00CE093D">
      <w:pPr>
        <w:pStyle w:val="Zkladntext"/>
      </w:pPr>
      <w:r>
        <w:t>Tato verze podmínek je účinná od 25. 3. 2026.</w:t>
      </w:r>
    </w:p>
    <w:p w14:paraId="3E1C4F0D" w14:textId="77777777" w:rsidR="007549F2" w:rsidRDefault="00CE093D">
      <w:pPr>
        <w:pStyle w:val="Zkladntext"/>
      </w:pPr>
      <w:r>
        <w:t>V Praze dne 23. 3. 2026</w:t>
      </w:r>
    </w:p>
    <w:p w14:paraId="5F117359" w14:textId="77777777" w:rsidR="007549F2" w:rsidRDefault="00CE093D">
      <w:pPr>
        <w:pStyle w:val="Zkladntext"/>
      </w:pPr>
      <w:r>
        <w:t>B. Braun Medical s.r.o.</w:t>
      </w:r>
    </w:p>
    <w:sectPr w:rsidR="007549F2">
      <w:pgSz w:w="12240" w:h="15840"/>
      <w:pgMar w:top="567" w:right="567" w:bottom="567"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Tahoma">
    <w:panose1 w:val="020B0604030504040204"/>
    <w:charset w:val="EE"/>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Segoe UI;Arial;sans-serif">
    <w:altName w:val="Segoe UI"/>
    <w:panose1 w:val="00000000000000000000"/>
    <w:charset w:val="00"/>
    <w:family w:val="roman"/>
    <w:notTrueType/>
    <w:pitch w:val="default"/>
  </w:font>
  <w:font w:name="OpenSymbol">
    <w:altName w:val="Segoe UI Symbol"/>
    <w:charset w:val="02"/>
    <w:family w:val="auto"/>
    <w:pitch w:val="default"/>
  </w:font>
  <w:font w:name="Liberation Sans">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FEA"/>
    <w:multiLevelType w:val="multilevel"/>
    <w:tmpl w:val="83CCC30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10BE0D41"/>
    <w:multiLevelType w:val="multilevel"/>
    <w:tmpl w:val="592C464C"/>
    <w:lvl w:ilvl="0">
      <w:start w:val="1"/>
      <w:numFmt w:val="bullet"/>
      <w:lvlText w:val=""/>
      <w:lvlJc w:val="left"/>
      <w:pPr>
        <w:tabs>
          <w:tab w:val="num" w:pos="709"/>
        </w:tabs>
        <w:ind w:left="709" w:hanging="283"/>
      </w:pPr>
      <w:rPr>
        <w:rFonts w:ascii="Symbol" w:hAnsi="Symbol" w:cs="Symbol" w:hint="default"/>
      </w:rPr>
    </w:lvl>
    <w:lvl w:ilvl="1">
      <w:start w:val="27"/>
      <w:numFmt w:val="decimal"/>
      <w:lvlText w:val="%2."/>
      <w:lvlJc w:val="left"/>
      <w:pPr>
        <w:tabs>
          <w:tab w:val="num" w:pos="1418"/>
        </w:tabs>
        <w:ind w:left="1418" w:hanging="283"/>
      </w:pPr>
    </w:lvl>
    <w:lvl w:ilvl="2">
      <w:start w:val="2"/>
      <w:numFmt w:val="decimal"/>
      <w:lvlText w:val="%3."/>
      <w:lvlJc w:val="left"/>
      <w:pPr>
        <w:tabs>
          <w:tab w:val="num" w:pos="2127"/>
        </w:tabs>
        <w:ind w:left="2127" w:hanging="283"/>
      </w:pPr>
    </w:lvl>
    <w:lvl w:ilvl="3">
      <w:start w:val="2026"/>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 w15:restartNumberingAfterBreak="0">
    <w:nsid w:val="14FF3EF0"/>
    <w:multiLevelType w:val="multilevel"/>
    <w:tmpl w:val="6FBAD65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23470E71"/>
    <w:multiLevelType w:val="multilevel"/>
    <w:tmpl w:val="708E587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27F817FD"/>
    <w:multiLevelType w:val="multilevel"/>
    <w:tmpl w:val="07A0E91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31C80C54"/>
    <w:multiLevelType w:val="multilevel"/>
    <w:tmpl w:val="2C6820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41EF289D"/>
    <w:multiLevelType w:val="multilevel"/>
    <w:tmpl w:val="78F8375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15:restartNumberingAfterBreak="0">
    <w:nsid w:val="48B5037B"/>
    <w:multiLevelType w:val="multilevel"/>
    <w:tmpl w:val="8F68F16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15:restartNumberingAfterBreak="0">
    <w:nsid w:val="5B2B3FE9"/>
    <w:multiLevelType w:val="multilevel"/>
    <w:tmpl w:val="1D243F0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15:restartNumberingAfterBreak="0">
    <w:nsid w:val="5E801D26"/>
    <w:multiLevelType w:val="multilevel"/>
    <w:tmpl w:val="DE12D67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15:restartNumberingAfterBreak="0">
    <w:nsid w:val="6A3A0603"/>
    <w:multiLevelType w:val="multilevel"/>
    <w:tmpl w:val="7F4C293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15:restartNumberingAfterBreak="0">
    <w:nsid w:val="71DE2B87"/>
    <w:multiLevelType w:val="multilevel"/>
    <w:tmpl w:val="1CA8DB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757B389A"/>
    <w:multiLevelType w:val="multilevel"/>
    <w:tmpl w:val="73120BE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440957890">
    <w:abstractNumId w:val="3"/>
  </w:num>
  <w:num w:numId="2" w16cid:durableId="171728058">
    <w:abstractNumId w:val="6"/>
  </w:num>
  <w:num w:numId="3" w16cid:durableId="443962761">
    <w:abstractNumId w:val="9"/>
  </w:num>
  <w:num w:numId="4" w16cid:durableId="924075208">
    <w:abstractNumId w:val="10"/>
  </w:num>
  <w:num w:numId="5" w16cid:durableId="1564371306">
    <w:abstractNumId w:val="8"/>
  </w:num>
  <w:num w:numId="6" w16cid:durableId="746345549">
    <w:abstractNumId w:val="4"/>
  </w:num>
  <w:num w:numId="7" w16cid:durableId="30233442">
    <w:abstractNumId w:val="2"/>
  </w:num>
  <w:num w:numId="8" w16cid:durableId="1017121924">
    <w:abstractNumId w:val="1"/>
  </w:num>
  <w:num w:numId="9" w16cid:durableId="1320310967">
    <w:abstractNumId w:val="7"/>
  </w:num>
  <w:num w:numId="10" w16cid:durableId="662853174">
    <w:abstractNumId w:val="0"/>
  </w:num>
  <w:num w:numId="11" w16cid:durableId="1900747063">
    <w:abstractNumId w:val="12"/>
  </w:num>
  <w:num w:numId="12" w16cid:durableId="1627660808">
    <w:abstractNumId w:val="5"/>
  </w:num>
  <w:num w:numId="13" w16cid:durableId="2027631792">
    <w:abstractNumId w:val="11"/>
  </w:num>
  <w:num w:numId="14" w16cid:durableId="1919630315">
    <w:abstractNumId w:val="1"/>
    <w:lvlOverride w:ilvl="0">
      <w:startOverride w:val="1"/>
    </w:lvlOverride>
    <w:lvlOverride w:ilvl="1">
      <w:startOverride w:val="27"/>
    </w:lvlOverride>
    <w:lvlOverride w:ilvl="2">
      <w:startOverride w:val="5"/>
    </w:lvlOverride>
  </w:num>
  <w:num w:numId="15" w16cid:durableId="1290361803">
    <w:abstractNumId w:val="1"/>
    <w:lvlOverride w:ilvl="0">
      <w:startOverride w:val="1"/>
    </w:lvlOverride>
    <w:lvlOverride w:ilvl="1">
      <w:startOverride w:val="27"/>
    </w:lvlOverride>
    <w:lvlOverride w:ilvl="2">
      <w:startOverride w:val="8"/>
    </w:lvlOverride>
  </w:num>
  <w:num w:numId="16" w16cid:durableId="1353609981">
    <w:abstractNumId w:val="1"/>
    <w:lvlOverride w:ilvl="0">
      <w:startOverride w:val="1"/>
    </w:lvlOverride>
    <w:lvlOverride w:ilvl="1">
      <w:startOverride w:val="27"/>
    </w:lvlOverride>
    <w:lvlOverride w:ilvl="2">
      <w:startOverride w:val="2"/>
    </w:lvlOverride>
    <w:lvlOverride w:ilvl="3">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7549F2"/>
    <w:rsid w:val="004936C6"/>
    <w:rsid w:val="007549F2"/>
    <w:rsid w:val="007D575C"/>
    <w:rsid w:val="00CE093D"/>
    <w:rsid w:val="00EC4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3123"/>
  <w15:docId w15:val="{586F8694-51A4-4D72-A13A-C935E9077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ahoma" w:hAnsi="Liberation Serif" w:cs="Noto Sans Devanagari"/>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pPr>
    <w:rPr>
      <w:rFonts w:ascii="Segoe UI;Arial;sans-serif" w:eastAsia="Segoe UI;Arial;sans-serif" w:hAnsi="Segoe UI;Arial;sans-serif" w:cs="Segoe UI;Arial;sans-serif"/>
      <w:color w:val="000000"/>
    </w:rPr>
  </w:style>
  <w:style w:type="paragraph" w:styleId="Nadpis1">
    <w:name w:val="heading 1"/>
    <w:basedOn w:val="Heading"/>
    <w:next w:val="Zkladntext"/>
    <w:uiPriority w:val="9"/>
    <w:qFormat/>
    <w:pPr>
      <w:outlineLvl w:val="0"/>
    </w:pPr>
    <w:rPr>
      <w:rFonts w:ascii="Liberation Serif" w:hAnsi="Liberation Serif"/>
      <w:b/>
      <w:bCs/>
      <w:sz w:val="48"/>
      <w:szCs w:val="48"/>
    </w:rPr>
  </w:style>
  <w:style w:type="paragraph" w:styleId="Nadpis2">
    <w:name w:val="heading 2"/>
    <w:basedOn w:val="Heading"/>
    <w:next w:val="Zkladntext"/>
    <w:uiPriority w:val="9"/>
    <w:unhideWhenUsed/>
    <w:qFormat/>
    <w:pPr>
      <w:spacing w:before="200"/>
      <w:outlineLvl w:val="1"/>
    </w:pPr>
    <w:rPr>
      <w:rFonts w:ascii="Liberation Serif" w:hAnsi="Liberation Serif"/>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Pr>
      <w:b/>
      <w:bCs/>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ln"/>
    <w:next w:val="Zkladntext"/>
    <w:qFormat/>
    <w:pPr>
      <w:keepNext/>
      <w:spacing w:before="240" w:after="120"/>
    </w:pPr>
    <w:rPr>
      <w:rFonts w:ascii="Liberation Sans" w:eastAsia="Tahoma" w:hAnsi="Liberation Sans" w:cs="Noto Sans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rPr>
  </w:style>
  <w:style w:type="paragraph" w:customStyle="1" w:styleId="Index">
    <w:name w:val="Index"/>
    <w:basedOn w:val="Normln"/>
    <w:qFormat/>
    <w:pPr>
      <w:suppressLineNumbers/>
    </w:pPr>
    <w:rPr>
      <w:rFonts w:cs="Noto Sans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1200</Words>
  <Characters>7795</Characters>
  <Application>Microsoft Office Word</Application>
  <DocSecurity>0</DocSecurity>
  <Lines>160</Lines>
  <Paragraphs>114</Paragraphs>
  <ScaleCrop>false</ScaleCrop>
  <Company>B. Braun</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Filípek</dc:creator>
  <dc:description/>
  <cp:lastModifiedBy>Milan Filípek</cp:lastModifiedBy>
  <cp:revision>3</cp:revision>
  <dcterms:created xsi:type="dcterms:W3CDTF">2026-03-23T15:50:00Z</dcterms:created>
  <dcterms:modified xsi:type="dcterms:W3CDTF">2026-03-30T08:11:00Z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2026-03-23T15:50:05Z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e93b4c68-db7e-4abd-b746-d69881281fef</vt:lpwstr>
  </property>
  <property fmtid="{D5CDD505-2E9C-101B-9397-08002B2CF9AE}" pid="8" name="MSIP_Label_a8de25a8-ef47-40a7-b7ec-c38f3edc2acf_ContentBits">
    <vt:lpwstr>0</vt:lpwstr>
  </property>
  <property fmtid="{D5CDD505-2E9C-101B-9397-08002B2CF9AE}" pid="9" name="MSIP_Label_a8de25a8-ef47-40a7-b7ec-c38f3edc2acf_Tag">
    <vt:lpwstr>10, 3, 0, 1</vt:lpwstr>
  </property>
</Properties>
</file>